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7f0641b0242e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18985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"IVAN SELJANEC" KRIŽEVCI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2.084.948,40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2.136.341,79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2.042.833,16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2.365.193,37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228.851,58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15.809,48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8.863,76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15.809,48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8.863,76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237.715,34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ostvareni prihodi odnose se na prihode tekućih pomoći proračunskim korisnicima iz proračuna koji im nije nadležan, a to su prihodi za plaće i materijalna prava zaposlenika u iznosu od 1.866.469,80 e, prihoda od tekućih prijenosa između proračunskih korisnika istog proračuna temeljem prijenosa EU sredstava, a odnose se na sredstva financiranja pomoćnika u nastavi i sredstva za financiranje sheme voće ui znosu od 37.392,10 e, ostalih nespomenutih prihoda u iznosu od 196,39 e sredstva razlike troškova iz prošle godine za financiranje sheme voće , prihoda od prodaje gotovih prizvoda učeničke zadruge u iznosu od 80,00 e , prihoda od iznajmljivanja školskog prostora šk.restorana i prihoda najma višenamjenskog prostora unutar škole, u koji su uključeni i materijalni troškovi po navedenim najmovima u iznosu od 62.972,41 e, prihoda od tekućih donacija trgovačkih društava u iznosu od 4.580,13 e za ino dnevnice nastavnika i dnevnice za službeni put u pratnji učenika na putovanju  i prihoda iz nadležnog proračuna - ŽUPANIJA, za financiranje rashoda poslovanja u iznosu od 157.413,18 e  kao i prihoda iz nadležnog proračuna -ŽUPANIJA, za financiranje rashoda za nabavu nefinancijske imovine, u iznosu od 7.237,78 e.   </w:t>
      </w:r>
    </w:p>
    <w:p>
      <w:r>
        <w:t xml:space="preserve">Rashodi poslovanja prema navedenim prihodima veći su za rashode plaća zaposlenika za mjesec prosinac 2025. godine u iznosu od 165.957,12 e, obveze za materijalne rashode u iznosu od 25.918,96 e , obveze za nabavu nefinancijske imovine u iznosu od 2.721,98 e te obveze u iznosu od 30.084,59 e za iznos jamčevne pologe , obveze za EU predujmove i obveze proračunskih korisnika za povrat u proračun.</w:t>
      </w:r>
    </w:p>
    <w:p>
      <w:r>
        <w:t xml:space="preserve">Ostvareni financijski rezultat sastoji se od manjka prihoda sredstava iz državnog proračuna za plaće i materijalna prava zaposlenika za mjesec prosinac 2025.godine u iznosu od 159.082,82e izvor financiranja 53, manjka prihoda iz sredstavsa EU u iznosu 66.779,62 e izvor financiranja 58, viška prihoda vlastitih sredstava u iznosu od 9.344,84 e izvor 31, viška prihoda državnog proračuna uplaćenih na kraju godine za financiranje preventivnih programa  u iznosu od 3.621,05e izvor 55, viška prihod izvor 45 u iznosu od 196,35 e te metodološkog manjka izvora 13 koji se odnosi na račune troškova plaćene i oprihodovane u 2026.godini. 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dan 31.12.2025.godine iznose 0 eura iz razloga što su obveze na dan 31.12.2025. nedospjele obveze za plaćanje te će iste biti plaćene u 2026.godini po dospjeću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po izvorima financiranja - 510 programi unije, odnose se na Erasmus+mobilnost pojedinca za koji su sredstva uplaćena u 2024.godini kada je projekt i odobren. Sredstva nisu uplaćena u cijelom odobrenom iznosu te je ostatak od 17.518,00 e ostao za uplatu po tom projektu što je i s 31.12.2025. godine usklađeno s agencijom za mobilnost i programe  EU. Troškovi iskazano na izvoru financiranja 510-programi unije odnose se na navedeni projekat i financiraju se iz prenesenog viška prihoda po istom. </w:t>
      </w:r>
    </w:p>
    <w:p>
      <w:r>
        <w:t xml:space="preserve">EU izvještaj po izvorima financiranja - 561 europski socijalni fond, odnosi se na financiranje pomoćnika u nastavi - prilika za sve 7-pomoći iz proračuna-EU županija, razlika ostvarenih prihoda i rashoda odnosi se na obvezu isplate za prosinac 2025. isplaćenu u 2026.godini.</w:t>
      </w:r>
    </w:p>
    <w:p>
      <w:r>
        <w:t xml:space="preserve">EU izvještaj po izvorima financiranja - 565 europski poljoprivredni fond za ruralni razvoj odnosi se na financiranje pomoći iz proračuna -EU županija školska shema-voće. Ostvareni iznos prihoda jednak je ostavarednim sredstvima prihoda za financiranje školske sheme voće školske godine 2024/2025 i dio školske godine 2025/2026.   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30f25d5f8f4200" /></Relationships>
</file>